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C70" w14:textId="77777777" w:rsidR="00E46891" w:rsidRDefault="00C6588F" w:rsidP="00E46891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bookmarkStart w:id="0" w:name="_Hlk82074956"/>
      <w:bookmarkEnd w:id="0"/>
      <w:r w:rsidRPr="00C6588F">
        <w:rPr>
          <w:rFonts w:ascii="Georgia" w:hAnsi="Georgia"/>
          <w:b/>
          <w:bCs/>
          <w:sz w:val="28"/>
          <w:szCs w:val="28"/>
        </w:rPr>
        <w:t xml:space="preserve">Using Model Scores for </w:t>
      </w:r>
    </w:p>
    <w:p w14:paraId="0A97E052" w14:textId="06477309" w:rsidR="008D68AC" w:rsidRDefault="00C6588F" w:rsidP="00E46891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6588F">
        <w:rPr>
          <w:rFonts w:ascii="Georgia" w:hAnsi="Georgia"/>
          <w:b/>
          <w:bCs/>
          <w:sz w:val="28"/>
          <w:szCs w:val="28"/>
        </w:rPr>
        <w:t>Intervention with Students</w:t>
      </w:r>
    </w:p>
    <w:p w14:paraId="7E14CDAC" w14:textId="77777777" w:rsidR="00E46891" w:rsidRPr="00C6588F" w:rsidRDefault="00E46891" w:rsidP="00E46891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7C68F168" w14:textId="6A4ABE04" w:rsidR="007F48C3" w:rsidRDefault="007F48C3" w:rsidP="00C6588F">
      <w:pPr>
        <w:rPr>
          <w:rFonts w:ascii="Georgia" w:hAnsi="Georgia"/>
          <w:color w:val="000000" w:themeColor="text1"/>
          <w:sz w:val="24"/>
          <w:szCs w:val="24"/>
        </w:rPr>
      </w:pPr>
      <w:r w:rsidRPr="007F48C3">
        <w:rPr>
          <w:rFonts w:ascii="Georgia" w:hAnsi="Georgia"/>
          <w:b/>
          <w:bCs/>
          <w:i/>
          <w:iCs/>
          <w:color w:val="000000" w:themeColor="text1"/>
          <w:sz w:val="24"/>
          <w:szCs w:val="24"/>
        </w:rPr>
        <w:t>Recommended best practice</w:t>
      </w:r>
      <w:r w:rsidR="00054F18">
        <w:rPr>
          <w:rFonts w:ascii="Georgia" w:hAnsi="Georgia"/>
          <w:b/>
          <w:bCs/>
          <w:i/>
          <w:iCs/>
          <w:color w:val="000000" w:themeColor="text1"/>
          <w:sz w:val="24"/>
          <w:szCs w:val="24"/>
        </w:rPr>
        <w:t>s</w:t>
      </w:r>
      <w:r w:rsidRPr="007F48C3">
        <w:rPr>
          <w:rFonts w:ascii="Georgia" w:hAnsi="Georgia"/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 xml:space="preserve"> Given time pressures and </w:t>
      </w:r>
      <w:r w:rsidR="003128EA">
        <w:rPr>
          <w:rFonts w:ascii="Georgia" w:hAnsi="Georgia"/>
          <w:color w:val="000000" w:themeColor="text1"/>
          <w:sz w:val="24"/>
          <w:szCs w:val="24"/>
        </w:rPr>
        <w:t xml:space="preserve">our commitment to provide </w:t>
      </w:r>
      <w:r w:rsidR="00054F18">
        <w:rPr>
          <w:rFonts w:ascii="Georgia" w:hAnsi="Georgia"/>
          <w:color w:val="000000" w:themeColor="text1"/>
          <w:sz w:val="24"/>
          <w:szCs w:val="24"/>
        </w:rPr>
        <w:t xml:space="preserve">equal </w:t>
      </w:r>
      <w:r>
        <w:rPr>
          <w:rFonts w:ascii="Georgia" w:hAnsi="Georgia"/>
          <w:color w:val="000000" w:themeColor="text1"/>
          <w:sz w:val="24"/>
          <w:szCs w:val="24"/>
        </w:rPr>
        <w:t>access to a quality Baylor e</w:t>
      </w:r>
      <w:r w:rsidR="003128EA">
        <w:rPr>
          <w:rFonts w:ascii="Georgia" w:hAnsi="Georgia"/>
          <w:color w:val="000000" w:themeColor="text1"/>
          <w:sz w:val="24"/>
          <w:szCs w:val="24"/>
        </w:rPr>
        <w:t>ducation</w:t>
      </w:r>
      <w:r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="003128EA">
        <w:rPr>
          <w:rFonts w:ascii="Georgia" w:hAnsi="Georgia"/>
          <w:color w:val="000000" w:themeColor="text1"/>
          <w:sz w:val="24"/>
          <w:szCs w:val="24"/>
        </w:rPr>
        <w:t xml:space="preserve">it is recommended that you </w:t>
      </w:r>
      <w:r>
        <w:rPr>
          <w:rFonts w:ascii="Georgia" w:hAnsi="Georgia"/>
          <w:color w:val="000000" w:themeColor="text1"/>
          <w:sz w:val="24"/>
          <w:szCs w:val="24"/>
        </w:rPr>
        <w:t xml:space="preserve">prioritize the most personalized care for students at high and moderate risk for leaving the next fall. This can mean giving the high/ moderate risk students the first opportunity to sign up for advising appointments. </w:t>
      </w:r>
      <w:r w:rsidR="007F559B">
        <w:rPr>
          <w:rFonts w:ascii="Georgia" w:hAnsi="Georgia"/>
          <w:color w:val="000000" w:themeColor="text1"/>
          <w:sz w:val="24"/>
          <w:szCs w:val="24"/>
        </w:rPr>
        <w:t>Or, if</w:t>
      </w:r>
      <w:r>
        <w:rPr>
          <w:rFonts w:ascii="Georgia" w:hAnsi="Georgia"/>
          <w:color w:val="000000" w:themeColor="text1"/>
          <w:sz w:val="24"/>
          <w:szCs w:val="24"/>
        </w:rPr>
        <w:t xml:space="preserve"> you are trying to get to know all of the students in </w:t>
      </w:r>
      <w:r w:rsidR="007F559B">
        <w:rPr>
          <w:rFonts w:ascii="Georgia" w:hAnsi="Georgia"/>
          <w:color w:val="000000" w:themeColor="text1"/>
          <w:sz w:val="24"/>
          <w:szCs w:val="24"/>
        </w:rPr>
        <w:t xml:space="preserve">one of </w:t>
      </w:r>
      <w:r>
        <w:rPr>
          <w:rFonts w:ascii="Georgia" w:hAnsi="Georgia"/>
          <w:color w:val="000000" w:themeColor="text1"/>
          <w:sz w:val="24"/>
          <w:szCs w:val="24"/>
        </w:rPr>
        <w:t>your classes, consider having a face-to-face meeting with high</w:t>
      </w:r>
      <w:r w:rsidR="007F559B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 xml:space="preserve">risk students whereas an email exchange might suffice for a low risk student. Low risk students tend to be more self-directed and find resources with not as much guidance. </w:t>
      </w:r>
    </w:p>
    <w:p w14:paraId="43B40AD5" w14:textId="77777777" w:rsidR="003128EA" w:rsidRDefault="003128EA" w:rsidP="00C6588F">
      <w:pPr>
        <w:rPr>
          <w:rFonts w:ascii="Georgia" w:hAnsi="Georgia"/>
          <w:color w:val="000000" w:themeColor="text1"/>
          <w:sz w:val="24"/>
          <w:szCs w:val="24"/>
        </w:rPr>
      </w:pPr>
    </w:p>
    <w:p w14:paraId="65FF0B96" w14:textId="30DEF0B9" w:rsidR="003128EA" w:rsidRPr="003128EA" w:rsidRDefault="003128EA" w:rsidP="00C6588F">
      <w:pPr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3128EA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New Students: Utilize 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IR’s </w:t>
      </w:r>
      <w:r w:rsidRPr="003128EA">
        <w:rPr>
          <w:rFonts w:ascii="Georgia" w:hAnsi="Georgia"/>
          <w:b/>
          <w:bCs/>
          <w:color w:val="000000" w:themeColor="text1"/>
          <w:sz w:val="24"/>
          <w:szCs w:val="24"/>
        </w:rPr>
        <w:t>Retention Model Scores</w:t>
      </w:r>
    </w:p>
    <w:p w14:paraId="36D95D28" w14:textId="1C5CEBBB" w:rsidR="00C6588F" w:rsidRPr="00702A42" w:rsidRDefault="00C6588F" w:rsidP="00C6588F">
      <w:pPr>
        <w:rPr>
          <w:rFonts w:ascii="Georgia" w:hAnsi="Georgia"/>
          <w:color w:val="000000" w:themeColor="text1"/>
          <w:sz w:val="24"/>
          <w:szCs w:val="24"/>
        </w:rPr>
      </w:pPr>
      <w:r w:rsidRPr="00702A42">
        <w:rPr>
          <w:rFonts w:ascii="Georgia" w:hAnsi="Georgia"/>
          <w:color w:val="000000" w:themeColor="text1"/>
          <w:sz w:val="24"/>
          <w:szCs w:val="24"/>
        </w:rPr>
        <w:t xml:space="preserve">Baylor’s IR office created Retention Model Scores for our new students, both transfers and new first-year students. When you are on a student’s profile, look in the “Tags” section. For every new student, </w:t>
      </w:r>
      <w:r w:rsidR="007F48C3">
        <w:rPr>
          <w:rFonts w:ascii="Georgia" w:hAnsi="Georgia"/>
          <w:color w:val="000000" w:themeColor="text1"/>
          <w:sz w:val="24"/>
          <w:szCs w:val="24"/>
        </w:rPr>
        <w:t xml:space="preserve">in Navigate, </w:t>
      </w:r>
      <w:r w:rsidRPr="00702A42">
        <w:rPr>
          <w:rFonts w:ascii="Georgia" w:hAnsi="Georgia"/>
          <w:color w:val="000000" w:themeColor="text1"/>
          <w:sz w:val="24"/>
          <w:szCs w:val="24"/>
        </w:rPr>
        <w:t xml:space="preserve">you should see “Low,” “Moderate,” or “High.” </w:t>
      </w:r>
      <w:r w:rsidR="00BF299C">
        <w:rPr>
          <w:rFonts w:ascii="Georgia" w:hAnsi="Georgia"/>
          <w:color w:val="000000" w:themeColor="text1"/>
          <w:sz w:val="24"/>
          <w:szCs w:val="24"/>
        </w:rPr>
        <w:t xml:space="preserve">“Low” means that the student has a low chance of leaving Baylor next fall whereas “High” means that the student has a high chance of leaving Baylor. </w:t>
      </w:r>
      <w:r w:rsidRPr="00702A42">
        <w:rPr>
          <w:rFonts w:ascii="Georgia" w:hAnsi="Georgia"/>
          <w:color w:val="000000" w:themeColor="text1"/>
          <w:sz w:val="24"/>
          <w:szCs w:val="24"/>
        </w:rPr>
        <w:t xml:space="preserve">You can also use the Advanced search feature and pull for example, students in your area who have the “High” tag. </w:t>
      </w:r>
    </w:p>
    <w:p w14:paraId="244710A2" w14:textId="1BC120AE" w:rsidR="00C6588F" w:rsidRPr="00702A42" w:rsidRDefault="00C6588F" w:rsidP="00C6588F">
      <w:pPr>
        <w:rPr>
          <w:rFonts w:ascii="Georgia" w:hAnsi="Georgia"/>
          <w:color w:val="000000" w:themeColor="text1"/>
          <w:sz w:val="24"/>
          <w:szCs w:val="24"/>
        </w:rPr>
      </w:pPr>
      <w:r w:rsidRPr="00702A42">
        <w:rPr>
          <w:rFonts w:ascii="Georgia" w:hAnsi="Georgia"/>
          <w:noProof/>
          <w:color w:val="000000" w:themeColor="text1"/>
        </w:rPr>
        <w:drawing>
          <wp:inline distT="0" distB="0" distL="0" distR="0" wp14:anchorId="000097AC" wp14:editId="4DB3A6F0">
            <wp:extent cx="6258662" cy="14001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835" cy="140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7838" w14:textId="64FEE10A" w:rsidR="00C6588F" w:rsidRPr="00702A42" w:rsidRDefault="00C81312" w:rsidP="00C6588F">
      <w:pPr>
        <w:rPr>
          <w:rFonts w:ascii="Georgia" w:hAnsi="Georgia"/>
          <w:color w:val="000000" w:themeColor="text1"/>
          <w:sz w:val="24"/>
          <w:szCs w:val="24"/>
        </w:rPr>
      </w:pPr>
      <w:bookmarkStart w:id="1" w:name="_Hlk81998039"/>
      <w:r w:rsidRPr="00702A42">
        <w:rPr>
          <w:rFonts w:ascii="Georgia" w:hAnsi="Georgia"/>
          <w:color w:val="000000" w:themeColor="text1"/>
          <w:sz w:val="24"/>
          <w:szCs w:val="24"/>
        </w:rPr>
        <w:t xml:space="preserve">Here are the variables that IR found to be most significant for </w:t>
      </w:r>
      <w:r w:rsidR="00702A42">
        <w:rPr>
          <w:rFonts w:ascii="Georgia" w:hAnsi="Georgia"/>
          <w:color w:val="000000" w:themeColor="text1"/>
          <w:sz w:val="24"/>
          <w:szCs w:val="24"/>
        </w:rPr>
        <w:t xml:space="preserve">new </w:t>
      </w:r>
      <w:r w:rsidRPr="00702A42">
        <w:rPr>
          <w:rFonts w:ascii="Georgia" w:hAnsi="Georgia"/>
          <w:color w:val="000000" w:themeColor="text1"/>
          <w:sz w:val="24"/>
          <w:szCs w:val="24"/>
        </w:rPr>
        <w:t>students this fall: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02A42" w:rsidRPr="00702A42" w14:paraId="0F834113" w14:textId="77777777" w:rsidTr="009D1482">
        <w:trPr>
          <w:jc w:val="center"/>
        </w:trPr>
        <w:tc>
          <w:tcPr>
            <w:tcW w:w="4675" w:type="dxa"/>
          </w:tcPr>
          <w:p w14:paraId="339A9B3F" w14:textId="4FF0162F" w:rsidR="00D91218" w:rsidRPr="00702A42" w:rsidRDefault="00D91218" w:rsidP="009D148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First-Year Students</w:t>
            </w:r>
          </w:p>
        </w:tc>
        <w:tc>
          <w:tcPr>
            <w:tcW w:w="4675" w:type="dxa"/>
          </w:tcPr>
          <w:p w14:paraId="4D429CB9" w14:textId="2FD1F244" w:rsidR="00D91218" w:rsidRPr="00702A42" w:rsidRDefault="00D91218" w:rsidP="00C6588F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New Transfers</w:t>
            </w:r>
          </w:p>
        </w:tc>
      </w:tr>
      <w:tr w:rsidR="00702A42" w:rsidRPr="00702A42" w14:paraId="0CEF4C50" w14:textId="77777777" w:rsidTr="009D1482">
        <w:trPr>
          <w:jc w:val="center"/>
        </w:trPr>
        <w:tc>
          <w:tcPr>
            <w:tcW w:w="4675" w:type="dxa"/>
          </w:tcPr>
          <w:p w14:paraId="08861455" w14:textId="77777777" w:rsidR="00702A42" w:rsidRPr="00702A42" w:rsidRDefault="00702A42" w:rsidP="00702A4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First-generation status</w:t>
            </w:r>
          </w:p>
          <w:p w14:paraId="1AC6B2A2" w14:textId="77777777" w:rsidR="00702A42" w:rsidRPr="00702A42" w:rsidRDefault="00702A42" w:rsidP="00702A4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In-state</w:t>
            </w:r>
          </w:p>
          <w:p w14:paraId="53BFBBB4" w14:textId="77777777" w:rsidR="00702A42" w:rsidRPr="00702A42" w:rsidRDefault="00702A42" w:rsidP="00702A4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Living on/off-campus</w:t>
            </w:r>
          </w:p>
          <w:p w14:paraId="7D90D3D6" w14:textId="77777777" w:rsidR="00702A42" w:rsidRPr="00702A42" w:rsidRDefault="00702A42" w:rsidP="00702A4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Academic index</w:t>
            </w:r>
          </w:p>
          <w:p w14:paraId="381BA4B7" w14:textId="77777777" w:rsidR="00702A42" w:rsidRPr="00702A42" w:rsidRDefault="00702A42" w:rsidP="00702A4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AP scores of 3+</w:t>
            </w:r>
          </w:p>
          <w:p w14:paraId="178AD095" w14:textId="77777777" w:rsidR="00702A42" w:rsidRPr="00702A42" w:rsidRDefault="00702A42" w:rsidP="00702A4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Deposit date</w:t>
            </w:r>
          </w:p>
          <w:p w14:paraId="43709E46" w14:textId="77777777" w:rsidR="00702A42" w:rsidRPr="00702A42" w:rsidRDefault="00702A42" w:rsidP="00702A4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High school retention rate</w:t>
            </w:r>
          </w:p>
          <w:p w14:paraId="39641D8A" w14:textId="4EBD9421" w:rsidR="00D91218" w:rsidRPr="00702A42" w:rsidRDefault="00702A42" w:rsidP="00702A4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Unit retention rate</w:t>
            </w:r>
          </w:p>
        </w:tc>
        <w:tc>
          <w:tcPr>
            <w:tcW w:w="4675" w:type="dxa"/>
          </w:tcPr>
          <w:p w14:paraId="38EDAD71" w14:textId="77777777" w:rsidR="00D91218" w:rsidRPr="00702A42" w:rsidRDefault="00D91218" w:rsidP="00D91218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First-generation status</w:t>
            </w:r>
          </w:p>
          <w:p w14:paraId="11238B0A" w14:textId="77777777" w:rsidR="00D91218" w:rsidRPr="00702A42" w:rsidRDefault="00D91218" w:rsidP="00D91218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In-state</w:t>
            </w:r>
          </w:p>
          <w:p w14:paraId="1B99C0F2" w14:textId="77777777" w:rsidR="00D91218" w:rsidRPr="00702A42" w:rsidRDefault="00D91218" w:rsidP="009D1482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Living on/off-campus</w:t>
            </w:r>
          </w:p>
          <w:p w14:paraId="748BD43C" w14:textId="77777777" w:rsidR="00D91218" w:rsidRPr="00702A42" w:rsidRDefault="00D91218" w:rsidP="00D91218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Deposit date</w:t>
            </w:r>
          </w:p>
          <w:p w14:paraId="3359F736" w14:textId="77777777" w:rsidR="00D91218" w:rsidRPr="00702A42" w:rsidRDefault="00D91218" w:rsidP="00D91218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Unit retention rate</w:t>
            </w:r>
          </w:p>
          <w:p w14:paraId="1D6D9E5F" w14:textId="77777777" w:rsidR="00D91218" w:rsidRPr="00702A42" w:rsidRDefault="00D91218" w:rsidP="00D91218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702A42">
              <w:rPr>
                <w:rFonts w:ascii="Georgia" w:hAnsi="Georgia"/>
                <w:color w:val="000000" w:themeColor="text1"/>
                <w:sz w:val="24"/>
                <w:szCs w:val="24"/>
              </w:rPr>
              <w:t>Transfer GPA</w:t>
            </w:r>
          </w:p>
          <w:p w14:paraId="50CE1458" w14:textId="77777777" w:rsidR="00D91218" w:rsidRPr="00702A42" w:rsidRDefault="00D91218" w:rsidP="00C6588F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482D50DF" w14:textId="77777777" w:rsidR="007F48C3" w:rsidRDefault="007F48C3" w:rsidP="00C6588F">
      <w:pPr>
        <w:rPr>
          <w:rFonts w:ascii="Georgia" w:hAnsi="Georgia"/>
          <w:sz w:val="24"/>
          <w:szCs w:val="24"/>
        </w:rPr>
      </w:pPr>
    </w:p>
    <w:p w14:paraId="376F554B" w14:textId="607E9D5E" w:rsidR="00CB1A76" w:rsidRDefault="003128EA" w:rsidP="00C658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Important </w:t>
      </w:r>
      <w:r w:rsidR="000A1FB0" w:rsidRPr="000A1FB0">
        <w:rPr>
          <w:rFonts w:ascii="Georgia" w:hAnsi="Georgia"/>
          <w:i/>
          <w:iCs/>
          <w:sz w:val="24"/>
          <w:szCs w:val="24"/>
        </w:rPr>
        <w:t>Note:</w:t>
      </w:r>
      <w:r w:rsidR="000A1FB0">
        <w:rPr>
          <w:rFonts w:ascii="Georgia" w:hAnsi="Georgia"/>
          <w:sz w:val="24"/>
          <w:szCs w:val="24"/>
        </w:rPr>
        <w:t xml:space="preserve"> </w:t>
      </w:r>
      <w:r w:rsidR="00CB1A76">
        <w:rPr>
          <w:rFonts w:ascii="Georgia" w:hAnsi="Georgia"/>
          <w:sz w:val="24"/>
          <w:szCs w:val="24"/>
        </w:rPr>
        <w:t xml:space="preserve">Retention Model Scores with associated </w:t>
      </w:r>
      <w:r w:rsidR="000A1FB0">
        <w:rPr>
          <w:rFonts w:ascii="Georgia" w:hAnsi="Georgia"/>
          <w:sz w:val="24"/>
          <w:szCs w:val="24"/>
        </w:rPr>
        <w:t xml:space="preserve">Tags will be updated in mid-October based on Progress Reports and New2BU data.  </w:t>
      </w:r>
    </w:p>
    <w:p w14:paraId="1F4EAD81" w14:textId="33CC31BC" w:rsidR="003128EA" w:rsidRPr="003128EA" w:rsidRDefault="00CB1A76" w:rsidP="00C6588F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  <w:r w:rsidR="003128EA" w:rsidRPr="003128EA">
        <w:rPr>
          <w:rFonts w:ascii="Georgia" w:hAnsi="Georgia"/>
          <w:b/>
          <w:bCs/>
          <w:sz w:val="24"/>
          <w:szCs w:val="24"/>
        </w:rPr>
        <w:lastRenderedPageBreak/>
        <w:t>Continuing Students: Utilize EAB’s Intervention Levels</w:t>
      </w:r>
    </w:p>
    <w:p w14:paraId="4CDC9338" w14:textId="3331F9F3" w:rsidR="00702A42" w:rsidRDefault="009D1482" w:rsidP="00C658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continuing students, use the model scores </w:t>
      </w:r>
      <w:r w:rsidR="003128EA">
        <w:rPr>
          <w:rFonts w:ascii="Georgia" w:hAnsi="Georgia"/>
          <w:sz w:val="24"/>
          <w:szCs w:val="24"/>
        </w:rPr>
        <w:t xml:space="preserve">(called “Intervention Level”) </w:t>
      </w:r>
      <w:r>
        <w:rPr>
          <w:rFonts w:ascii="Georgia" w:hAnsi="Georgia"/>
          <w:sz w:val="24"/>
          <w:szCs w:val="24"/>
        </w:rPr>
        <w:t xml:space="preserve">that you find at top of </w:t>
      </w:r>
      <w:r w:rsidR="003128EA">
        <w:rPr>
          <w:rFonts w:ascii="Georgia" w:hAnsi="Georgia"/>
          <w:sz w:val="24"/>
          <w:szCs w:val="24"/>
        </w:rPr>
        <w:t xml:space="preserve">an enrolled </w:t>
      </w:r>
      <w:r>
        <w:rPr>
          <w:rFonts w:ascii="Georgia" w:hAnsi="Georgia"/>
          <w:sz w:val="24"/>
          <w:szCs w:val="24"/>
        </w:rPr>
        <w:t xml:space="preserve">student’s profile page. </w:t>
      </w:r>
    </w:p>
    <w:p w14:paraId="155B8F01" w14:textId="12718174" w:rsidR="00C81312" w:rsidRDefault="003128EA" w:rsidP="00C6588F">
      <w:pPr>
        <w:rPr>
          <w:noProof/>
        </w:rPr>
      </w:pPr>
      <w:r>
        <w:rPr>
          <w:noProof/>
        </w:rPr>
        <w:drawing>
          <wp:inline distT="0" distB="0" distL="0" distR="0" wp14:anchorId="2780055A" wp14:editId="463C25CF">
            <wp:extent cx="5943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867FD" w14:textId="071D93FE" w:rsidR="002023D9" w:rsidRDefault="003128EA" w:rsidP="002023D9">
      <w:pPr>
        <w:rPr>
          <w:rFonts w:ascii="Georgia" w:hAnsi="Georgia"/>
          <w:sz w:val="24"/>
          <w:szCs w:val="24"/>
        </w:rPr>
      </w:pPr>
      <w:r w:rsidRPr="00702A42">
        <w:rPr>
          <w:rFonts w:ascii="Georgia" w:hAnsi="Georgia"/>
          <w:color w:val="000000" w:themeColor="text1"/>
          <w:sz w:val="24"/>
          <w:szCs w:val="24"/>
        </w:rPr>
        <w:t xml:space="preserve">Here are the variables that </w:t>
      </w:r>
      <w:r>
        <w:rPr>
          <w:rFonts w:ascii="Georgia" w:hAnsi="Georgia"/>
          <w:color w:val="000000" w:themeColor="text1"/>
          <w:sz w:val="24"/>
          <w:szCs w:val="24"/>
        </w:rPr>
        <w:t xml:space="preserve">Education Advisory Board (EAB) </w:t>
      </w:r>
      <w:r w:rsidRPr="00702A42">
        <w:rPr>
          <w:rFonts w:ascii="Georgia" w:hAnsi="Georgia"/>
          <w:color w:val="000000" w:themeColor="text1"/>
          <w:sz w:val="24"/>
          <w:szCs w:val="24"/>
        </w:rPr>
        <w:t xml:space="preserve">found to be most significant for </w:t>
      </w:r>
      <w:r>
        <w:rPr>
          <w:rFonts w:ascii="Georgia" w:hAnsi="Georgia"/>
          <w:color w:val="000000" w:themeColor="text1"/>
          <w:sz w:val="24"/>
          <w:szCs w:val="24"/>
        </w:rPr>
        <w:t>our continuing students:</w:t>
      </w:r>
    </w:p>
    <w:p w14:paraId="41556D6B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Number of completed terms</w:t>
      </w:r>
    </w:p>
    <w:p w14:paraId="05538827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Average credits attempted per term</w:t>
      </w:r>
    </w:p>
    <w:p w14:paraId="709AF151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Ratio of earned to attempted credits</w:t>
      </w:r>
    </w:p>
    <w:p w14:paraId="0328B6A0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Cumulative GPA</w:t>
      </w:r>
    </w:p>
    <w:p w14:paraId="4BF2D7E3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Recent change in GPA</w:t>
      </w:r>
    </w:p>
    <w:p w14:paraId="3E510F69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Term GPA earned during first term</w:t>
      </w:r>
    </w:p>
    <w:p w14:paraId="46C907DC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Proportion of transfer credits</w:t>
      </w:r>
    </w:p>
    <w:p w14:paraId="293F5F29" w14:textId="1A7AAD4F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Admit code</w:t>
      </w:r>
    </w:p>
    <w:p w14:paraId="7F32725F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Total number of D/F grades earned</w:t>
      </w:r>
    </w:p>
    <w:p w14:paraId="4D5A957B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Number of D/F grades earned in previous term</w:t>
      </w:r>
    </w:p>
    <w:p w14:paraId="272569F9" w14:textId="77777777" w:rsidR="00E46891" w:rsidRPr="001E06F0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Number of W grades earned in previous term</w:t>
      </w:r>
    </w:p>
    <w:p w14:paraId="615F4A93" w14:textId="6D10553C" w:rsidR="00E46891" w:rsidRDefault="00E46891" w:rsidP="00E46891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1E06F0">
        <w:rPr>
          <w:rFonts w:ascii="Georgia" w:eastAsia="Times New Roman" w:hAnsi="Georgia"/>
          <w:sz w:val="24"/>
          <w:szCs w:val="24"/>
        </w:rPr>
        <w:t>Trend in term GPA</w:t>
      </w:r>
    </w:p>
    <w:p w14:paraId="26A2C00E" w14:textId="77777777" w:rsidR="003128EA" w:rsidRPr="001E06F0" w:rsidRDefault="003128EA" w:rsidP="003128EA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469939FB" w14:textId="28FCCA0E" w:rsidR="002023D9" w:rsidRPr="002023D9" w:rsidRDefault="003128EA" w:rsidP="007F48C3">
      <w:pPr>
        <w:rPr>
          <w:rFonts w:ascii="Georgia" w:hAnsi="Georgia"/>
          <w:sz w:val="24"/>
          <w:szCs w:val="24"/>
        </w:rPr>
      </w:pPr>
      <w:r w:rsidRPr="003128EA">
        <w:rPr>
          <w:rFonts w:ascii="Georgia" w:hAnsi="Georgia"/>
          <w:b/>
          <w:bCs/>
          <w:sz w:val="24"/>
          <w:szCs w:val="24"/>
        </w:rPr>
        <w:t xml:space="preserve">Important </w:t>
      </w:r>
      <w:r w:rsidR="00054F18" w:rsidRPr="003128EA">
        <w:rPr>
          <w:rFonts w:ascii="Georgia" w:hAnsi="Georgia"/>
          <w:b/>
          <w:bCs/>
          <w:sz w:val="24"/>
          <w:szCs w:val="24"/>
        </w:rPr>
        <w:t>Reminder:</w:t>
      </w:r>
      <w:r w:rsidR="00054F18" w:rsidRPr="001E06F0">
        <w:rPr>
          <w:rFonts w:ascii="Georgia" w:hAnsi="Georgia"/>
          <w:sz w:val="24"/>
          <w:szCs w:val="24"/>
        </w:rPr>
        <w:t xml:space="preserve"> </w:t>
      </w:r>
      <w:r w:rsidR="007F48C3" w:rsidRPr="001E06F0">
        <w:rPr>
          <w:rFonts w:ascii="Georgia" w:hAnsi="Georgia"/>
          <w:sz w:val="24"/>
          <w:szCs w:val="24"/>
        </w:rPr>
        <w:t>These indicators</w:t>
      </w:r>
      <w:r w:rsidR="007F48C3">
        <w:rPr>
          <w:rFonts w:ascii="Georgia" w:hAnsi="Georgia"/>
          <w:sz w:val="24"/>
          <w:szCs w:val="24"/>
        </w:rPr>
        <w:t xml:space="preserve"> are not predictors</w:t>
      </w:r>
      <w:r>
        <w:rPr>
          <w:rFonts w:ascii="Georgia" w:hAnsi="Georgia"/>
          <w:sz w:val="24"/>
          <w:szCs w:val="24"/>
        </w:rPr>
        <w:t xml:space="preserve">; neither do they represent a student’s </w:t>
      </w:r>
      <w:r w:rsidR="007F48C3">
        <w:rPr>
          <w:rFonts w:ascii="Georgia" w:hAnsi="Georgia"/>
          <w:sz w:val="24"/>
          <w:szCs w:val="24"/>
        </w:rPr>
        <w:t>destiny. They should be used</w:t>
      </w:r>
      <w:r>
        <w:rPr>
          <w:rFonts w:ascii="Georgia" w:hAnsi="Georgia"/>
          <w:sz w:val="24"/>
          <w:szCs w:val="24"/>
        </w:rPr>
        <w:t>,</w:t>
      </w:r>
      <w:r w:rsidR="007F48C3">
        <w:rPr>
          <w:rFonts w:ascii="Georgia" w:hAnsi="Georgia"/>
          <w:sz w:val="24"/>
          <w:szCs w:val="24"/>
        </w:rPr>
        <w:t xml:space="preserve"> in combination with other information you have</w:t>
      </w:r>
      <w:r>
        <w:rPr>
          <w:rFonts w:ascii="Georgia" w:hAnsi="Georgia"/>
          <w:sz w:val="24"/>
          <w:szCs w:val="24"/>
        </w:rPr>
        <w:t>,</w:t>
      </w:r>
      <w:r w:rsidR="007F48C3">
        <w:rPr>
          <w:rFonts w:ascii="Georgia" w:hAnsi="Georgia"/>
          <w:sz w:val="24"/>
          <w:szCs w:val="24"/>
        </w:rPr>
        <w:t xml:space="preserve"> to help staff prioritize how to spend their time and approach conversations with students</w:t>
      </w:r>
      <w:r>
        <w:rPr>
          <w:rFonts w:ascii="Georgia" w:hAnsi="Georgia"/>
          <w:sz w:val="24"/>
          <w:szCs w:val="24"/>
        </w:rPr>
        <w:t xml:space="preserve">. In short, with our focused attention, we can assist the higher risk students to beat the odds and succeed at Baylor. This is a beautiful manifestation of our caring community at work in smart and strategic ways. </w:t>
      </w:r>
    </w:p>
    <w:sectPr w:rsidR="002023D9" w:rsidRPr="002023D9" w:rsidSect="00CB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41CA"/>
    <w:multiLevelType w:val="hybridMultilevel"/>
    <w:tmpl w:val="2B2A4FA6"/>
    <w:lvl w:ilvl="0" w:tplc="FD9605F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F"/>
    <w:rsid w:val="00054F18"/>
    <w:rsid w:val="000A1FB0"/>
    <w:rsid w:val="001E06F0"/>
    <w:rsid w:val="002023D9"/>
    <w:rsid w:val="003128EA"/>
    <w:rsid w:val="003939FC"/>
    <w:rsid w:val="005F67CD"/>
    <w:rsid w:val="00702A42"/>
    <w:rsid w:val="007F48C3"/>
    <w:rsid w:val="007F559B"/>
    <w:rsid w:val="008D68AC"/>
    <w:rsid w:val="009D1482"/>
    <w:rsid w:val="009E12E8"/>
    <w:rsid w:val="00BF299C"/>
    <w:rsid w:val="00C6588F"/>
    <w:rsid w:val="00C81312"/>
    <w:rsid w:val="00CB1A76"/>
    <w:rsid w:val="00D91218"/>
    <w:rsid w:val="00E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9AB1"/>
  <w15:chartTrackingRefBased/>
  <w15:docId w15:val="{C0B79D02-7046-4B3D-BE84-3E0E4C7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89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7A48C.B709F9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Vanderpool, Sinda</dc:creator>
  <cp:keywords/>
  <dc:description/>
  <cp:lastModifiedBy>Crowson, Carroll</cp:lastModifiedBy>
  <cp:revision>2</cp:revision>
  <cp:lastPrinted>2021-09-09T18:26:00Z</cp:lastPrinted>
  <dcterms:created xsi:type="dcterms:W3CDTF">2022-02-14T20:13:00Z</dcterms:created>
  <dcterms:modified xsi:type="dcterms:W3CDTF">2022-02-14T20:13:00Z</dcterms:modified>
</cp:coreProperties>
</file>